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C2" w:rsidRDefault="00AD72C2" w:rsidP="00AD72C2">
      <w:pPr>
        <w:pStyle w:val="Nagwek2"/>
        <w:numPr>
          <w:ilvl w:val="0"/>
          <w:numId w:val="0"/>
        </w:numPr>
      </w:pPr>
      <w:bookmarkStart w:id="0" w:name="_Toc57804009"/>
      <w:bookmarkStart w:id="1" w:name="_GoBack"/>
      <w:bookmarkEnd w:id="1"/>
      <w:r>
        <w:t>Procedura postępowania ze znalezionymi dokumentami z danymi osobowymi</w:t>
      </w:r>
      <w:bookmarkEnd w:id="0"/>
      <w:r>
        <w:t xml:space="preserve"> </w:t>
      </w:r>
    </w:p>
    <w:p w:rsidR="00AD72C2" w:rsidRDefault="00AD72C2" w:rsidP="00AD72C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osoba która, zauważy pozostawione na terenie </w:t>
      </w:r>
      <w:r>
        <w:rPr>
          <w:rFonts w:cs="Calibri"/>
          <w:b/>
          <w:sz w:val="22"/>
          <w:szCs w:val="22"/>
        </w:rPr>
        <w:t>Szkoły Podstawowej Nr 3 im. Marii Konopnickiej w Krośnie</w:t>
      </w:r>
      <w:r>
        <w:rPr>
          <w:sz w:val="22"/>
          <w:szCs w:val="22"/>
        </w:rPr>
        <w:t xml:space="preserve"> dokumenty tożsamości, inne dokumenty, wydruki, formularze, zawierające dane osobowe lub nośniki danych powinna zwrócić te dokumenty lub nośniki danych właścicielowi.</w:t>
      </w:r>
    </w:p>
    <w:p w:rsidR="00AD72C2" w:rsidRDefault="00AD72C2" w:rsidP="00AD72C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gdy zwrócenie znalezionych dokumenty tożsamości, innych dokumentów lub nośników danych właścicielowi jest niemożliwe należy niezwłocznie poinformować o tym fakcie Administratora lub Pracownika </w:t>
      </w:r>
      <w:r>
        <w:rPr>
          <w:rFonts w:cs="Calibri"/>
          <w:b/>
          <w:sz w:val="22"/>
          <w:szCs w:val="22"/>
        </w:rPr>
        <w:t>Szkoły Podstawowej Nr 3 im. Marii Konopnickiej w Krośnie</w:t>
      </w:r>
      <w:r>
        <w:rPr>
          <w:sz w:val="22"/>
          <w:szCs w:val="22"/>
        </w:rPr>
        <w:t>.</w:t>
      </w:r>
    </w:p>
    <w:p w:rsidR="00AD72C2" w:rsidRDefault="00AD72C2" w:rsidP="00AD72C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Znalezione dokumenty tożsamości, zgodnie z przepisami prawa, powinny być przekazane do najbliższego komisariatu policji.</w:t>
      </w:r>
    </w:p>
    <w:p w:rsidR="00AD72C2" w:rsidRDefault="00AD72C2" w:rsidP="00AD72C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dokumenty zawierające dane osobowe lub nośniki danych Administrator będzie przechowywał do momentu zgłoszenia się po nie osoby, która jest ich właścicielem nie dłużej jednak jak przez </w:t>
      </w:r>
      <w:r>
        <w:rPr>
          <w:b/>
          <w:sz w:val="22"/>
          <w:szCs w:val="22"/>
        </w:rPr>
        <w:t>2 tygodnie</w:t>
      </w:r>
      <w:r>
        <w:rPr>
          <w:sz w:val="22"/>
          <w:szCs w:val="22"/>
        </w:rPr>
        <w:t xml:space="preserve"> od momentu znalezienia i po tym okresie dokumenty i nośniki będą niszczone wg </w:t>
      </w:r>
      <w:r>
        <w:rPr>
          <w:i/>
          <w:sz w:val="22"/>
          <w:szCs w:val="22"/>
          <w:u w:val="single"/>
        </w:rPr>
        <w:t>Procedury kasowania i niszczenia elektronicznych nośników danych</w:t>
      </w:r>
      <w:r>
        <w:rPr>
          <w:sz w:val="22"/>
          <w:szCs w:val="22"/>
        </w:rPr>
        <w:t xml:space="preserve"> i </w:t>
      </w:r>
      <w:r>
        <w:rPr>
          <w:i/>
          <w:sz w:val="22"/>
          <w:szCs w:val="22"/>
          <w:u w:val="single"/>
        </w:rPr>
        <w:t>Procedury niszczenia dokumentów w wersji papierowej</w:t>
      </w:r>
      <w:r>
        <w:rPr>
          <w:sz w:val="22"/>
          <w:szCs w:val="22"/>
        </w:rPr>
        <w:t xml:space="preserve">. </w:t>
      </w:r>
    </w:p>
    <w:p w:rsidR="00AD72C2" w:rsidRDefault="00AD72C2" w:rsidP="00AD72C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będzie prowadził ewidencję znalezionych i przechowywanych dokumentów oraz nośników danych z danymi osobowymi, zgodnie z załącznikiem do Polityki ochrony danych osobowych: </w:t>
      </w:r>
      <w:r>
        <w:rPr>
          <w:i/>
          <w:sz w:val="22"/>
          <w:szCs w:val="22"/>
          <w:u w:val="single"/>
        </w:rPr>
        <w:t>Ewidencja znalezionych dokumentów i nośników danych</w:t>
      </w:r>
      <w:r>
        <w:rPr>
          <w:sz w:val="22"/>
          <w:szCs w:val="22"/>
        </w:rPr>
        <w:t>.</w:t>
      </w:r>
    </w:p>
    <w:p w:rsidR="006941A7" w:rsidRDefault="006941A7"/>
    <w:sectPr w:rsidR="006941A7" w:rsidSect="006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7904E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5061D60"/>
    <w:multiLevelType w:val="hybridMultilevel"/>
    <w:tmpl w:val="5E0ECC86"/>
    <w:lvl w:ilvl="0" w:tplc="09242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C2"/>
    <w:rsid w:val="006941A7"/>
    <w:rsid w:val="006C7C53"/>
    <w:rsid w:val="00A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0899-55DA-4D80-8751-8F5ECE1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1A7"/>
  </w:style>
  <w:style w:type="paragraph" w:styleId="Nagwek1">
    <w:name w:val="heading 1"/>
    <w:basedOn w:val="Normalny"/>
    <w:next w:val="Normalny"/>
    <w:link w:val="Nagwek1Znak"/>
    <w:uiPriority w:val="9"/>
    <w:qFormat/>
    <w:rsid w:val="00AD72C2"/>
    <w:pPr>
      <w:keepNext/>
      <w:keepLines/>
      <w:numPr>
        <w:numId w:val="1"/>
      </w:numPr>
      <w:pBdr>
        <w:bottom w:val="single" w:sz="4" w:space="1" w:color="595959"/>
      </w:pBdr>
      <w:spacing w:before="360" w:after="160" w:line="256" w:lineRule="auto"/>
      <w:outlineLvl w:val="0"/>
    </w:pPr>
    <w:rPr>
      <w:rFonts w:ascii="Calibri Light" w:eastAsia="Times New Roman" w:hAnsi="Calibri Light" w:cs="Times New Roman"/>
      <w:b/>
      <w:bCs/>
      <w:smallCaps/>
      <w:color w:val="000000"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2C2"/>
    <w:pPr>
      <w:keepNext/>
      <w:keepLines/>
      <w:numPr>
        <w:ilvl w:val="1"/>
        <w:numId w:val="1"/>
      </w:numPr>
      <w:spacing w:before="360" w:after="0" w:line="256" w:lineRule="auto"/>
      <w:outlineLvl w:val="1"/>
    </w:pPr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2C2"/>
    <w:pPr>
      <w:keepNext/>
      <w:keepLines/>
      <w:numPr>
        <w:ilvl w:val="2"/>
        <w:numId w:val="1"/>
      </w:numPr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72C2"/>
    <w:pPr>
      <w:keepNext/>
      <w:keepLines/>
      <w:numPr>
        <w:ilvl w:val="3"/>
        <w:numId w:val="1"/>
      </w:numPr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00000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72C2"/>
    <w:pPr>
      <w:keepNext/>
      <w:keepLines/>
      <w:numPr>
        <w:ilvl w:val="4"/>
        <w:numId w:val="1"/>
      </w:numPr>
      <w:spacing w:before="200" w:after="0" w:line="256" w:lineRule="auto"/>
      <w:outlineLvl w:val="4"/>
    </w:pPr>
    <w:rPr>
      <w:rFonts w:ascii="Calibri Light" w:eastAsia="Times New Roman" w:hAnsi="Calibri Light" w:cs="Times New Roman"/>
      <w:color w:val="323E4F"/>
      <w:sz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72C2"/>
    <w:pPr>
      <w:keepNext/>
      <w:keepLines/>
      <w:numPr>
        <w:ilvl w:val="5"/>
        <w:numId w:val="1"/>
      </w:numPr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323E4F"/>
      <w:sz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72C2"/>
    <w:pPr>
      <w:keepNext/>
      <w:keepLines/>
      <w:numPr>
        <w:ilvl w:val="6"/>
        <w:numId w:val="1"/>
      </w:numPr>
      <w:spacing w:before="200" w:after="0" w:line="256" w:lineRule="auto"/>
      <w:outlineLvl w:val="6"/>
    </w:pPr>
    <w:rPr>
      <w:rFonts w:ascii="Calibri Light" w:eastAsia="Times New Roman" w:hAnsi="Calibri Light" w:cs="Times New Roman"/>
      <w:i/>
      <w:iCs/>
      <w:color w:val="40404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72C2"/>
    <w:pPr>
      <w:keepNext/>
      <w:keepLines/>
      <w:numPr>
        <w:ilvl w:val="7"/>
        <w:numId w:val="1"/>
      </w:numPr>
      <w:spacing w:before="200" w:after="0" w:line="25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2C2"/>
    <w:pPr>
      <w:keepNext/>
      <w:keepLines/>
      <w:numPr>
        <w:ilvl w:val="8"/>
        <w:numId w:val="1"/>
      </w:numPr>
      <w:spacing w:before="200" w:after="0" w:line="25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2C2"/>
    <w:rPr>
      <w:rFonts w:ascii="Calibri Light" w:eastAsia="Times New Roman" w:hAnsi="Calibri Light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2C2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2C2"/>
    <w:rPr>
      <w:rFonts w:ascii="Calibri Light" w:eastAsia="Times New Roman" w:hAnsi="Calibri Light" w:cs="Times New Roman"/>
      <w:b/>
      <w:bCs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72C2"/>
    <w:rPr>
      <w:rFonts w:ascii="Calibri Light" w:eastAsia="Times New Roman" w:hAnsi="Calibri Light" w:cs="Times New Roman"/>
      <w:b/>
      <w:bCs/>
      <w:i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72C2"/>
    <w:rPr>
      <w:rFonts w:ascii="Calibri Light" w:eastAsia="Times New Roma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72C2"/>
    <w:rPr>
      <w:rFonts w:ascii="Calibri Light" w:eastAsia="Times New Roma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72C2"/>
    <w:rPr>
      <w:rFonts w:ascii="Calibri Light" w:eastAsia="Times New Roma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72C2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2C2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2C2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D72C2"/>
    <w:pPr>
      <w:spacing w:after="160" w:line="25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USER</cp:lastModifiedBy>
  <cp:revision>2</cp:revision>
  <dcterms:created xsi:type="dcterms:W3CDTF">2021-02-25T12:38:00Z</dcterms:created>
  <dcterms:modified xsi:type="dcterms:W3CDTF">2021-02-25T12:38:00Z</dcterms:modified>
</cp:coreProperties>
</file>